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8F8" w:rsidRPr="003A7F06" w:rsidRDefault="00A438F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7F06">
        <w:rPr>
          <w:rFonts w:ascii="Times New Roman" w:hAnsi="Times New Roman" w:cs="Times New Roman"/>
          <w:sz w:val="24"/>
          <w:szCs w:val="24"/>
          <w:lang w:eastAsia="ar-SA"/>
        </w:rPr>
        <w:t>АДМИНИСТРАЦИЯ НОВОНИКОЛЬСКОГО СЕЛЬСКОГО ПОСЕЛЕНИЯ</w:t>
      </w:r>
    </w:p>
    <w:p w:rsidR="00A438F8" w:rsidRPr="003A7F06" w:rsidRDefault="00A438F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7F06">
        <w:rPr>
          <w:rFonts w:ascii="Times New Roman" w:hAnsi="Times New Roman" w:cs="Times New Roman"/>
          <w:sz w:val="24"/>
          <w:szCs w:val="24"/>
          <w:lang w:eastAsia="ar-SA"/>
        </w:rPr>
        <w:t>АЛЕКСАНДРОВСКОГО РАЙОНАТОМСКОЙ ОБЛАСТИ</w:t>
      </w:r>
    </w:p>
    <w:p w:rsidR="00A438F8" w:rsidRPr="003A7F06" w:rsidRDefault="00A438F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438F8" w:rsidRPr="003A7F06" w:rsidRDefault="00A438F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:rsidR="00A438F8" w:rsidRPr="00F60172" w:rsidRDefault="00A438F8" w:rsidP="00F6017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7F06">
        <w:rPr>
          <w:rFonts w:ascii="Times New Roman" w:hAnsi="Times New Roman" w:cs="Times New Roman"/>
          <w:bCs/>
          <w:sz w:val="24"/>
          <w:szCs w:val="24"/>
          <w:lang w:eastAsia="ar-SA"/>
        </w:rPr>
        <w:t>ПОСТАНОВЛЕНИЕ</w:t>
      </w:r>
    </w:p>
    <w:p w:rsidR="00A438F8" w:rsidRPr="00F60172" w:rsidRDefault="00A438F8" w:rsidP="00F6017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A438F8" w:rsidRDefault="00AD18AB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11.02.2025</w:t>
      </w:r>
      <w:r w:rsidR="00A438F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</w:p>
    <w:p w:rsidR="00A438F8" w:rsidRDefault="00A438F8" w:rsidP="000A18DA">
      <w:pPr>
        <w:tabs>
          <w:tab w:val="left" w:pos="672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A438F8" w:rsidRDefault="00A438F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8F8" w:rsidRDefault="00A438F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8F8" w:rsidRPr="003A46A2" w:rsidRDefault="00A438F8" w:rsidP="004175D0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 xml:space="preserve">Об утверждении Плана мероприятий по осуществлению </w:t>
      </w:r>
      <w:r w:rsidRPr="003A46A2">
        <w:rPr>
          <w:rFonts w:ascii="Times New Roman" w:hAnsi="Times New Roman" w:cs="Times New Roman"/>
          <w:lang w:eastAsia="ar-SA"/>
        </w:rPr>
        <w:t>мер</w:t>
      </w:r>
    </w:p>
    <w:p w:rsidR="00A438F8" w:rsidRPr="003A46A2" w:rsidRDefault="00A438F8" w:rsidP="004175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lang w:eastAsia="ar-SA"/>
        </w:rPr>
        <w:t xml:space="preserve">по социально-экономическому    развитию  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и оздоровлению</w:t>
      </w:r>
    </w:p>
    <w:p w:rsidR="00A438F8" w:rsidRPr="003A46A2" w:rsidRDefault="00A438F8" w:rsidP="004175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>муниципальных   финансов   муниципального    образования</w:t>
      </w:r>
    </w:p>
    <w:p w:rsidR="00A438F8" w:rsidRPr="003A46A2" w:rsidRDefault="00A438F8" w:rsidP="004175D0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>«Новоникольское   сельское  поселение» в 202</w:t>
      </w:r>
      <w:r w:rsidR="00DE5B9D">
        <w:rPr>
          <w:rFonts w:ascii="Times New Roman" w:hAnsi="Times New Roman" w:cs="Times New Roman"/>
          <w:color w:val="000000"/>
          <w:lang w:eastAsia="ar-SA"/>
        </w:rPr>
        <w:t>5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году</w:t>
      </w:r>
    </w:p>
    <w:p w:rsidR="00A438F8" w:rsidRDefault="00A438F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8F8" w:rsidRDefault="00A438F8" w:rsidP="00F6017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438F8" w:rsidRPr="003A46A2" w:rsidRDefault="00A438F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 xml:space="preserve">В  целях  выполнения условий Соглашения № </w:t>
      </w:r>
      <w:r w:rsidR="003D1DBA">
        <w:rPr>
          <w:rFonts w:ascii="Times New Roman" w:hAnsi="Times New Roman" w:cs="Times New Roman"/>
          <w:color w:val="000000"/>
          <w:lang w:eastAsia="ar-SA"/>
        </w:rPr>
        <w:t>4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от 1</w:t>
      </w:r>
      <w:r w:rsidR="00DE5B9D">
        <w:rPr>
          <w:rFonts w:ascii="Times New Roman" w:hAnsi="Times New Roman" w:cs="Times New Roman"/>
          <w:color w:val="000000"/>
          <w:lang w:eastAsia="ar-SA"/>
        </w:rPr>
        <w:t>0</w:t>
      </w:r>
      <w:r w:rsidRPr="003A46A2">
        <w:rPr>
          <w:rFonts w:ascii="Times New Roman" w:hAnsi="Times New Roman" w:cs="Times New Roman"/>
          <w:color w:val="000000"/>
          <w:lang w:eastAsia="ar-SA"/>
        </w:rPr>
        <w:t>.02.202</w:t>
      </w:r>
      <w:r w:rsidR="005D2F8B">
        <w:rPr>
          <w:rFonts w:ascii="Times New Roman" w:hAnsi="Times New Roman" w:cs="Times New Roman"/>
          <w:color w:val="000000"/>
          <w:lang w:eastAsia="ar-SA"/>
        </w:rPr>
        <w:t>5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г. «О  мерах по социально-экономическому развитию и оздоровлению муниципальных финансов», заключенного между Финансовым отделом Администрации Александровского района Томской области и Муниципальным образованием «Новоникольское сельское поселение», </w:t>
      </w:r>
    </w:p>
    <w:p w:rsidR="00A438F8" w:rsidRPr="003A46A2" w:rsidRDefault="00A438F8" w:rsidP="00F60172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>ПОСТАНОВЛЯЮ:</w:t>
      </w:r>
    </w:p>
    <w:p w:rsidR="00A438F8" w:rsidRPr="003A46A2" w:rsidRDefault="00A438F8" w:rsidP="00E358FF">
      <w:pPr>
        <w:spacing w:after="120" w:line="240" w:lineRule="exact"/>
        <w:jc w:val="both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lang w:eastAsia="ar-SA"/>
        </w:rPr>
        <w:tab/>
        <w:t xml:space="preserve">1.  Утвердить План   мероприятий  по осуществлению мер, по социально-экономическому развитию  и  </w:t>
      </w:r>
      <w:r w:rsidRPr="003A46A2">
        <w:rPr>
          <w:rFonts w:ascii="Times New Roman" w:hAnsi="Times New Roman" w:cs="Times New Roman"/>
          <w:color w:val="000000"/>
          <w:lang w:eastAsia="ar-SA"/>
        </w:rPr>
        <w:t>оздоровлению  муниципальных финансов муниципального образования  «Новоникольское сельское поселение» в 202</w:t>
      </w:r>
      <w:r w:rsidR="00DE5B9D">
        <w:rPr>
          <w:rFonts w:ascii="Times New Roman" w:hAnsi="Times New Roman" w:cs="Times New Roman"/>
          <w:color w:val="000000"/>
          <w:lang w:eastAsia="ar-SA"/>
        </w:rPr>
        <w:t>5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году, согласно  приложению  к данному постановлению.</w:t>
      </w:r>
    </w:p>
    <w:p w:rsidR="00A438F8" w:rsidRPr="003A46A2" w:rsidRDefault="00A438F8" w:rsidP="00E358FF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>2.     Постановление  вступает в силу со дня его подписания и распространяется  на правоотношения, возникшие с 01.01.202</w:t>
      </w:r>
      <w:r w:rsidR="00DE5B9D">
        <w:rPr>
          <w:rFonts w:ascii="Times New Roman" w:hAnsi="Times New Roman" w:cs="Times New Roman"/>
          <w:color w:val="000000"/>
          <w:lang w:eastAsia="ar-SA"/>
        </w:rPr>
        <w:t>5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года.</w:t>
      </w:r>
    </w:p>
    <w:p w:rsidR="00A438F8" w:rsidRPr="003A46A2" w:rsidRDefault="00A438F8" w:rsidP="00E358FF">
      <w:pPr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>3.    Контроль за  исполнением настоящего постановления оставляю за собой.</w:t>
      </w: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A438F8" w:rsidRPr="003A46A2" w:rsidRDefault="00A438F8" w:rsidP="00F77C10">
      <w:pPr>
        <w:suppressAutoHyphens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color w:val="000000"/>
          <w:lang w:eastAsia="ar-SA"/>
        </w:rPr>
        <w:t>Глава  Новоникольского сельского поселения                                                  В.Н.Першин</w:t>
      </w: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Pr="003A46A2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F60172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A438F8" w:rsidRDefault="00A438F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438F8" w:rsidRDefault="00A438F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438F8" w:rsidRDefault="00A438F8" w:rsidP="006718FE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438F8" w:rsidRDefault="00A438F8" w:rsidP="00B75D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438F8" w:rsidRDefault="00A438F8" w:rsidP="00B75D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438F8" w:rsidRDefault="00A438F8" w:rsidP="00B75D43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A438F8" w:rsidRPr="003A46A2" w:rsidRDefault="00A438F8" w:rsidP="00B75D4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3A46A2">
        <w:rPr>
          <w:rFonts w:ascii="Times New Roman" w:hAnsi="Times New Roman" w:cs="Times New Roman"/>
        </w:rPr>
        <w:lastRenderedPageBreak/>
        <w:t xml:space="preserve">  </w:t>
      </w:r>
      <w:r w:rsidR="00A336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3A46A2">
        <w:rPr>
          <w:rFonts w:ascii="Times New Roman" w:hAnsi="Times New Roman" w:cs="Times New Roman"/>
        </w:rPr>
        <w:t>Приложение</w:t>
      </w:r>
    </w:p>
    <w:p w:rsidR="00A438F8" w:rsidRPr="003A46A2" w:rsidRDefault="00A438F8" w:rsidP="006718F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3A46A2">
        <w:rPr>
          <w:rFonts w:ascii="Times New Roman" w:hAnsi="Times New Roman" w:cs="Times New Roman"/>
        </w:rPr>
        <w:t>к  постановлению Администрации</w:t>
      </w:r>
    </w:p>
    <w:p w:rsidR="00A438F8" w:rsidRPr="003A46A2" w:rsidRDefault="00A438F8" w:rsidP="006718F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3A46A2">
        <w:rPr>
          <w:rFonts w:ascii="Times New Roman" w:hAnsi="Times New Roman" w:cs="Times New Roman"/>
        </w:rPr>
        <w:t xml:space="preserve">Новоникольского  сельского поселения </w:t>
      </w:r>
    </w:p>
    <w:p w:rsidR="00A438F8" w:rsidRPr="003A46A2" w:rsidRDefault="00A438F8" w:rsidP="006718FE">
      <w:pPr>
        <w:spacing w:after="0" w:line="240" w:lineRule="exact"/>
        <w:jc w:val="right"/>
        <w:rPr>
          <w:rFonts w:ascii="Times New Roman" w:hAnsi="Times New Roman" w:cs="Times New Roman"/>
        </w:rPr>
      </w:pPr>
      <w:r w:rsidRPr="003A46A2">
        <w:rPr>
          <w:rFonts w:ascii="Times New Roman" w:hAnsi="Times New Roman" w:cs="Times New Roman"/>
        </w:rPr>
        <w:t xml:space="preserve">от  </w:t>
      </w:r>
      <w:r w:rsidR="00AD18AB">
        <w:rPr>
          <w:rFonts w:ascii="Times New Roman" w:hAnsi="Times New Roman" w:cs="Times New Roman"/>
        </w:rPr>
        <w:t>11.02</w:t>
      </w:r>
      <w:r w:rsidRPr="003A46A2">
        <w:rPr>
          <w:rFonts w:ascii="Times New Roman" w:hAnsi="Times New Roman" w:cs="Times New Roman"/>
        </w:rPr>
        <w:t>.202</w:t>
      </w:r>
      <w:r w:rsidR="00DE5B9D">
        <w:rPr>
          <w:rFonts w:ascii="Times New Roman" w:hAnsi="Times New Roman" w:cs="Times New Roman"/>
        </w:rPr>
        <w:t>5</w:t>
      </w:r>
      <w:r w:rsidRPr="003A46A2">
        <w:rPr>
          <w:rFonts w:ascii="Times New Roman" w:hAnsi="Times New Roman" w:cs="Times New Roman"/>
        </w:rPr>
        <w:t xml:space="preserve"> г. № </w:t>
      </w:r>
      <w:r w:rsidR="00AD18AB">
        <w:rPr>
          <w:rFonts w:ascii="Times New Roman" w:hAnsi="Times New Roman" w:cs="Times New Roman"/>
        </w:rPr>
        <w:t>7</w:t>
      </w:r>
    </w:p>
    <w:p w:rsidR="00A438F8" w:rsidRPr="003A46A2" w:rsidRDefault="00A438F8" w:rsidP="006718FE">
      <w:pPr>
        <w:spacing w:after="0" w:line="240" w:lineRule="exact"/>
        <w:jc w:val="right"/>
        <w:rPr>
          <w:rFonts w:ascii="Times New Roman" w:hAnsi="Times New Roman" w:cs="Times New Roman"/>
        </w:rPr>
      </w:pPr>
    </w:p>
    <w:p w:rsidR="00A438F8" w:rsidRPr="003A46A2" w:rsidRDefault="00A438F8" w:rsidP="00F77C10">
      <w:pPr>
        <w:spacing w:after="120" w:line="240" w:lineRule="exact"/>
        <w:jc w:val="center"/>
        <w:rPr>
          <w:rFonts w:ascii="Times New Roman" w:hAnsi="Times New Roman" w:cs="Times New Roman"/>
        </w:rPr>
      </w:pPr>
      <w:r w:rsidRPr="003A46A2">
        <w:rPr>
          <w:rFonts w:ascii="Times New Roman" w:hAnsi="Times New Roman" w:cs="Times New Roman"/>
        </w:rPr>
        <w:t>План мероприятий</w:t>
      </w:r>
    </w:p>
    <w:p w:rsidR="00A438F8" w:rsidRPr="003A46A2" w:rsidRDefault="00A438F8" w:rsidP="00F77C10">
      <w:pPr>
        <w:spacing w:after="120" w:line="240" w:lineRule="exact"/>
        <w:jc w:val="center"/>
        <w:rPr>
          <w:rFonts w:ascii="Times New Roman" w:hAnsi="Times New Roman" w:cs="Times New Roman"/>
          <w:lang w:eastAsia="ar-SA"/>
        </w:rPr>
      </w:pPr>
      <w:r w:rsidRPr="003A46A2">
        <w:rPr>
          <w:rFonts w:ascii="Times New Roman" w:hAnsi="Times New Roman" w:cs="Times New Roman"/>
          <w:lang w:eastAsia="ar-SA"/>
        </w:rPr>
        <w:t xml:space="preserve">по осуществлению мер по социально-экономическому развитию </w:t>
      </w:r>
    </w:p>
    <w:p w:rsidR="00A438F8" w:rsidRPr="003A46A2" w:rsidRDefault="00A438F8" w:rsidP="00F77C10">
      <w:pPr>
        <w:spacing w:after="120" w:line="240" w:lineRule="exact"/>
        <w:jc w:val="center"/>
        <w:rPr>
          <w:rFonts w:ascii="Times New Roman" w:hAnsi="Times New Roman" w:cs="Times New Roman"/>
          <w:color w:val="000000"/>
          <w:lang w:eastAsia="ar-SA"/>
        </w:rPr>
      </w:pPr>
      <w:r w:rsidRPr="003A46A2">
        <w:rPr>
          <w:rFonts w:ascii="Times New Roman" w:hAnsi="Times New Roman" w:cs="Times New Roman"/>
          <w:lang w:eastAsia="ar-SA"/>
        </w:rPr>
        <w:t xml:space="preserve">и  </w:t>
      </w:r>
      <w:r w:rsidRPr="003A46A2">
        <w:rPr>
          <w:rFonts w:ascii="Times New Roman" w:hAnsi="Times New Roman" w:cs="Times New Roman"/>
          <w:color w:val="000000"/>
          <w:lang w:eastAsia="ar-SA"/>
        </w:rPr>
        <w:t>оздоровлению  муниципальных финансов муниципального образования  «Новоникольское сельское поселение» в 202</w:t>
      </w:r>
      <w:r w:rsidR="004906F8">
        <w:rPr>
          <w:rFonts w:ascii="Times New Roman" w:hAnsi="Times New Roman" w:cs="Times New Roman"/>
          <w:color w:val="000000"/>
          <w:lang w:eastAsia="ar-SA"/>
        </w:rPr>
        <w:t>5</w:t>
      </w:r>
      <w:r w:rsidRPr="003A46A2">
        <w:rPr>
          <w:rFonts w:ascii="Times New Roman" w:hAnsi="Times New Roman" w:cs="Times New Roman"/>
          <w:color w:val="000000"/>
          <w:lang w:eastAsia="ar-SA"/>
        </w:rPr>
        <w:t xml:space="preserve"> году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671"/>
        <w:gridCol w:w="1489"/>
        <w:gridCol w:w="1984"/>
      </w:tblGrid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Соблюдение требований к предельному значению дефицита бюджета поселения, установленных пунктами 3 и 4 статьи 92.1 Бюджетного кодекса Российской Федерации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Соблюдение ограничений по объему муниципального долга</w:t>
            </w:r>
            <w:r w:rsidRPr="003A46A2">
              <w:rPr>
                <w:rFonts w:ascii="Times New Roman" w:hAnsi="Times New Roman"/>
                <w:lang w:eastAsia="ru-RU"/>
              </w:rPr>
              <w:t xml:space="preserve"> установленных </w:t>
            </w:r>
            <w:hyperlink r:id="rId6" w:history="1">
              <w:r w:rsidRPr="003A46A2">
                <w:rPr>
                  <w:rFonts w:ascii="Times New Roman" w:hAnsi="Times New Roman"/>
                  <w:lang w:eastAsia="ru-RU"/>
                </w:rPr>
                <w:t>пунктом 5 статьи 107</w:t>
              </w:r>
            </w:hyperlink>
            <w:r w:rsidRPr="003A46A2">
              <w:rPr>
                <w:rFonts w:ascii="Times New Roman" w:hAnsi="Times New Roman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993300"/>
              </w:rPr>
            </w:pPr>
            <w:r w:rsidRPr="003A46A2">
              <w:rPr>
                <w:rFonts w:ascii="Times New Roman" w:hAnsi="Times New Roman"/>
                <w:lang w:eastAsia="ru-RU"/>
              </w:rPr>
              <w:t xml:space="preserve">Соблюдение ограничений по объему расходов на обслуживание муниципального долга, установленных пунктом 7 </w:t>
            </w:r>
            <w:hyperlink r:id="rId7" w:history="1">
              <w:r w:rsidRPr="003A46A2">
                <w:rPr>
                  <w:rFonts w:ascii="Times New Roman" w:hAnsi="Times New Roman"/>
                  <w:lang w:eastAsia="ru-RU"/>
                </w:rPr>
                <w:t>статьи 107</w:t>
              </w:r>
            </w:hyperlink>
            <w:r w:rsidRPr="003A46A2">
              <w:rPr>
                <w:rFonts w:ascii="Times New Roman" w:hAnsi="Times New Roman"/>
                <w:lang w:eastAsia="ru-RU"/>
              </w:rPr>
              <w:t xml:space="preserve"> Бюджетного кодекса Российской Федерации;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 xml:space="preserve">Соблюдение установленного пунктом 3 </w:t>
            </w:r>
            <w:hyperlink r:id="rId8" w:history="1">
              <w:r w:rsidRPr="003A46A2">
                <w:rPr>
                  <w:rFonts w:ascii="Times New Roman" w:hAnsi="Times New Roman"/>
                  <w:lang w:eastAsia="ru-RU"/>
                </w:rPr>
                <w:t>статьи 81</w:t>
              </w:r>
            </w:hyperlink>
            <w:r w:rsidRPr="003A46A2">
              <w:rPr>
                <w:rFonts w:ascii="Times New Roman" w:hAnsi="Times New Roman"/>
                <w:lang w:eastAsia="ru-RU"/>
              </w:rPr>
              <w:t xml:space="preserve"> Бюджетного кодекса Российской Федерации размера резервного фонда местной администрации;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ежеквар</w:t>
            </w: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тально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муниципальных образований Томской области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>Недопущение образования просроченной кредиторской задолженности бюджета сельского поселения  по принятым расходным обязательствам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F269ED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671" w:type="dxa"/>
            <w:vAlign w:val="bottom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6A2">
              <w:rPr>
                <w:rFonts w:ascii="Times New Roman" w:hAnsi="Times New Roman" w:cs="Times New Roman"/>
              </w:rPr>
              <w:t xml:space="preserve">Обеспечение </w:t>
            </w:r>
            <w:r w:rsidR="00DE5B9D" w:rsidRPr="003A46A2">
              <w:rPr>
                <w:rFonts w:ascii="Times New Roman" w:hAnsi="Times New Roman" w:cs="Times New Roman"/>
              </w:rPr>
              <w:t>не увеличения</w:t>
            </w:r>
            <w:r w:rsidRPr="003A46A2">
              <w:rPr>
                <w:rFonts w:ascii="Times New Roman" w:hAnsi="Times New Roman" w:cs="Times New Roman"/>
              </w:rPr>
              <w:t xml:space="preserve"> численности работников органов местного самоуправления сельского поселения, а также направление на согласование в Финансовый отдел проектов муниципальных правовых актов об увеличении численности работников муниципальных учреждений сельского поселения до их принятия в случае необходимости увеличения численности работников муниципальных учреждений в результате ввода в эксплуатацию объектов, находящихся в муниципальной собственности, либо в результате передачи указанных объектов из государственной собственности в муниципальную собственность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671" w:type="dxa"/>
          </w:tcPr>
          <w:p w:rsidR="00A438F8" w:rsidRPr="003A46A2" w:rsidRDefault="00A438F8" w:rsidP="00DE5B9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</w:rPr>
              <w:t xml:space="preserve">Обеспечение роста налоговых и неналоговых доходов бюджета </w:t>
            </w:r>
            <w:r w:rsidRPr="003A46A2">
              <w:rPr>
                <w:rFonts w:ascii="Times New Roman" w:hAnsi="Times New Roman"/>
                <w:lang w:eastAsia="ru-RU"/>
              </w:rPr>
              <w:t>сельского поселения</w:t>
            </w:r>
            <w:r w:rsidRPr="003A46A2">
              <w:rPr>
                <w:rFonts w:ascii="Times New Roman" w:hAnsi="Times New Roman"/>
              </w:rPr>
              <w:t xml:space="preserve"> по итогам исполнения бюджета </w:t>
            </w:r>
            <w:r w:rsidRPr="003A46A2">
              <w:rPr>
                <w:rFonts w:ascii="Times New Roman" w:hAnsi="Times New Roman"/>
                <w:lang w:eastAsia="ru-RU"/>
              </w:rPr>
              <w:t>сельского поселения</w:t>
            </w:r>
            <w:r w:rsidRPr="003A46A2">
              <w:rPr>
                <w:rFonts w:ascii="Times New Roman" w:hAnsi="Times New Roman"/>
              </w:rPr>
              <w:t xml:space="preserve">  за 20</w:t>
            </w:r>
            <w:r w:rsidRPr="003A46A2">
              <w:rPr>
                <w:rFonts w:ascii="Times New Roman" w:hAnsi="Times New Roman"/>
                <w:u w:val="single"/>
              </w:rPr>
              <w:t>2</w:t>
            </w:r>
            <w:r w:rsidR="00DE5B9D">
              <w:rPr>
                <w:rFonts w:ascii="Times New Roman" w:hAnsi="Times New Roman"/>
                <w:u w:val="single"/>
              </w:rPr>
              <w:t>5</w:t>
            </w:r>
            <w:r w:rsidRPr="003A46A2">
              <w:rPr>
                <w:rFonts w:ascii="Times New Roman" w:hAnsi="Times New Roman"/>
              </w:rPr>
              <w:t xml:space="preserve"> год по сравнению с уровнем исполнения 202</w:t>
            </w:r>
            <w:r w:rsidR="00DE5B9D">
              <w:rPr>
                <w:rFonts w:ascii="Times New Roman" w:hAnsi="Times New Roman"/>
              </w:rPr>
              <w:t>4</w:t>
            </w:r>
            <w:r w:rsidRPr="003A46A2">
              <w:rPr>
                <w:rFonts w:ascii="Times New Roman" w:hAnsi="Times New Roman"/>
              </w:rPr>
              <w:t xml:space="preserve"> года в сопоставимых условиях на 2процента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E358FF">
        <w:trPr>
          <w:trHeight w:val="2967"/>
        </w:trPr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3A46A2">
              <w:rPr>
                <w:rFonts w:ascii="Times New Roman" w:hAnsi="Times New Roman"/>
              </w:rPr>
              <w:t xml:space="preserve">Проведение оценки эффективности налоговых льгот (пониженных ставок по налогам), предоставляемых органами местного самоуправления, </w:t>
            </w:r>
            <w:r w:rsidRPr="003A46A2">
              <w:rPr>
                <w:rFonts w:ascii="Times New Roman" w:hAnsi="Times New Roman"/>
                <w:lang w:eastAsia="ru-RU"/>
              </w:rPr>
              <w:t xml:space="preserve">утвержденными постановлением Правительства Российской Федерации от 22.06.2019 № 796 «Об общих </w:t>
            </w:r>
            <w:hyperlink r:id="rId9" w:history="1">
              <w:r w:rsidRPr="003A46A2">
                <w:rPr>
                  <w:rFonts w:ascii="Times New Roman" w:hAnsi="Times New Roman"/>
                  <w:lang w:eastAsia="ru-RU"/>
                </w:rPr>
                <w:t>требования</w:t>
              </w:r>
            </w:hyperlink>
            <w:r w:rsidRPr="003A46A2">
              <w:rPr>
                <w:rFonts w:ascii="Times New Roman" w:hAnsi="Times New Roman"/>
                <w:lang w:eastAsia="ru-RU"/>
              </w:rPr>
              <w:t>х к оценке налоговых расходов субъектов Российской Федерации и муниципальных образований», и представление ее результатов вФинансовый отдел в следующие сроки: до 25 апреля 20</w:t>
            </w:r>
            <w:r w:rsidRPr="003A46A2">
              <w:rPr>
                <w:rFonts w:ascii="Times New Roman" w:hAnsi="Times New Roman"/>
                <w:u w:val="single"/>
                <w:lang w:eastAsia="ru-RU"/>
              </w:rPr>
              <w:t>2</w:t>
            </w:r>
            <w:r w:rsidR="00DE5B9D">
              <w:rPr>
                <w:rFonts w:ascii="Times New Roman" w:hAnsi="Times New Roman"/>
                <w:u w:val="single"/>
                <w:lang w:eastAsia="ru-RU"/>
              </w:rPr>
              <w:t>5</w:t>
            </w:r>
            <w:r w:rsidRPr="003A46A2">
              <w:rPr>
                <w:rFonts w:ascii="Times New Roman" w:hAnsi="Times New Roman"/>
                <w:lang w:eastAsia="ru-RU"/>
              </w:rPr>
              <w:t xml:space="preserve"> года за 202</w:t>
            </w:r>
            <w:r w:rsidR="00DE5B9D">
              <w:rPr>
                <w:rFonts w:ascii="Times New Roman" w:hAnsi="Times New Roman"/>
                <w:lang w:eastAsia="ru-RU"/>
              </w:rPr>
              <w:t>4</w:t>
            </w:r>
            <w:r w:rsidRPr="003A46A2">
              <w:rPr>
                <w:rFonts w:ascii="Times New Roman" w:hAnsi="Times New Roman"/>
                <w:lang w:eastAsia="ru-RU"/>
              </w:rPr>
              <w:t xml:space="preserve"> год,</w:t>
            </w:r>
            <w:r w:rsidRPr="003A46A2">
              <w:rPr>
                <w:rFonts w:ascii="Times New Roman" w:hAnsi="Times New Roman"/>
                <w:lang w:eastAsia="ru-RU"/>
              </w:rPr>
              <w:tab/>
            </w:r>
          </w:p>
          <w:p w:rsidR="00A438F8" w:rsidRPr="003A46A2" w:rsidRDefault="00A438F8" w:rsidP="00AD18AB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>до 20 июля 20</w:t>
            </w:r>
            <w:r w:rsidRPr="003A46A2">
              <w:rPr>
                <w:rFonts w:ascii="Times New Roman" w:hAnsi="Times New Roman"/>
                <w:u w:val="single"/>
                <w:lang w:eastAsia="ru-RU"/>
              </w:rPr>
              <w:t>2</w:t>
            </w:r>
            <w:r w:rsidR="00DE5B9D">
              <w:rPr>
                <w:rFonts w:ascii="Times New Roman" w:hAnsi="Times New Roman"/>
                <w:u w:val="single"/>
                <w:lang w:eastAsia="ru-RU"/>
              </w:rPr>
              <w:t>5</w:t>
            </w:r>
            <w:r w:rsidRPr="003A46A2">
              <w:rPr>
                <w:rFonts w:ascii="Times New Roman" w:hAnsi="Times New Roman"/>
                <w:lang w:eastAsia="ru-RU"/>
              </w:rPr>
              <w:t xml:space="preserve"> года за 202</w:t>
            </w:r>
            <w:r w:rsidR="00AD18AB">
              <w:rPr>
                <w:rFonts w:ascii="Times New Roman" w:hAnsi="Times New Roman"/>
                <w:lang w:eastAsia="ru-RU"/>
              </w:rPr>
              <w:t>5</w:t>
            </w:r>
            <w:bookmarkStart w:id="0" w:name="_GoBack"/>
            <w:bookmarkEnd w:id="0"/>
            <w:r w:rsidRPr="003A46A2">
              <w:rPr>
                <w:rFonts w:ascii="Times New Roman" w:hAnsi="Times New Roman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3A7F06">
        <w:trPr>
          <w:trHeight w:val="1413"/>
        </w:trPr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>Утверждение (внесение изменений) плана по отмене неэффективных</w:t>
            </w:r>
            <w:r w:rsidRPr="003A46A2">
              <w:rPr>
                <w:rFonts w:ascii="Times New Roman" w:hAnsi="Times New Roman"/>
              </w:rPr>
              <w:t xml:space="preserve"> налоговых льгот (</w:t>
            </w:r>
            <w:r w:rsidRPr="003A46A2">
              <w:rPr>
                <w:rFonts w:ascii="Times New Roman" w:hAnsi="Times New Roman"/>
                <w:lang w:eastAsia="ru-RU"/>
              </w:rPr>
              <w:t>пониженных ставок по налогам</w:t>
            </w:r>
            <w:r w:rsidRPr="003A46A2">
              <w:rPr>
                <w:rFonts w:ascii="Times New Roman" w:hAnsi="Times New Roman"/>
              </w:rPr>
              <w:t>) до 1 сентября текущего финансового года в случае, если по результатам оценки эффективности налоговых льгот (</w:t>
            </w:r>
            <w:r w:rsidRPr="003A46A2">
              <w:rPr>
                <w:rFonts w:ascii="Times New Roman" w:hAnsi="Times New Roman"/>
                <w:lang w:eastAsia="ru-RU"/>
              </w:rPr>
              <w:t>пониженных ставок по налогам</w:t>
            </w:r>
            <w:r w:rsidRPr="003A46A2">
              <w:rPr>
                <w:rFonts w:ascii="Times New Roman" w:hAnsi="Times New Roman"/>
              </w:rPr>
              <w:t>), предоставленных органами местного самоуправления, выявлены неэффективные налоговые льготы (</w:t>
            </w:r>
            <w:r w:rsidRPr="003A46A2">
              <w:rPr>
                <w:rFonts w:ascii="Times New Roman" w:hAnsi="Times New Roman"/>
                <w:lang w:eastAsia="ru-RU"/>
              </w:rPr>
              <w:t>пониженные ставки по налогам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color w:val="000000"/>
                <w:lang w:eastAsia="ru-RU"/>
              </w:rPr>
              <w:t>Обеспечение</w:t>
            </w:r>
            <w:r w:rsidRPr="003A46A2">
              <w:rPr>
                <w:rFonts w:ascii="Times New Roman" w:hAnsi="Times New Roman"/>
                <w:lang w:eastAsia="ru-RU"/>
              </w:rPr>
              <w:t xml:space="preserve"> снижения задолженности по неналоговым доходам бюджета сельского поселения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993300"/>
              </w:rPr>
            </w:pPr>
            <w:r w:rsidRPr="003A46A2">
              <w:rPr>
                <w:rFonts w:ascii="Times New Roman" w:hAnsi="Times New Roman"/>
                <w:color w:val="000000"/>
                <w:lang w:eastAsia="ru-RU"/>
              </w:rPr>
              <w:t>Утверждение (</w:t>
            </w:r>
            <w:r w:rsidRPr="003A46A2">
              <w:rPr>
                <w:rFonts w:ascii="Times New Roman" w:hAnsi="Times New Roman"/>
              </w:rPr>
              <w:t>внесение изменений</w:t>
            </w:r>
            <w:r w:rsidRPr="003A46A2">
              <w:rPr>
                <w:rFonts w:ascii="Times New Roman" w:hAnsi="Times New Roman"/>
                <w:color w:val="000000"/>
                <w:lang w:eastAsia="ru-RU"/>
              </w:rPr>
              <w:t>) и представление в Финансовый отдел до 1 мая текущего финансового года плана мероприятий по оздоровлению муниципальных финансов, включающий мероприятия, направленные на рост доходов и на оптимизацию расходов местного бюджета, и обеспечение его реализации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</w:rPr>
              <w:t xml:space="preserve">Не установление в текущем финансовом году расходных обязательств, не связанных с решением вопросов, отнесенных </w:t>
            </w:r>
            <w:hyperlink r:id="rId10" w:history="1">
              <w:r w:rsidRPr="003A46A2">
                <w:rPr>
                  <w:rFonts w:ascii="Times New Roman" w:hAnsi="Times New Roman"/>
                </w:rPr>
                <w:t>Конституцией</w:t>
              </w:r>
            </w:hyperlink>
            <w:r w:rsidRPr="003A46A2">
              <w:rPr>
                <w:rFonts w:ascii="Times New Roman" w:hAnsi="Times New Roman"/>
              </w:rPr>
              <w:t xml:space="preserve"> Российской Федерации, федеральными законами и законами Томской области к полномочиям сельских поселений;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671" w:type="dxa"/>
          </w:tcPr>
          <w:p w:rsidR="00A438F8" w:rsidRPr="003A46A2" w:rsidRDefault="00A438F8" w:rsidP="00DE5B9D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>Представление в срок до 20 сентября текущего финансового года в Финансовый отдел основных параметров проекта бюджета муниципального образования «Новоникол</w:t>
            </w:r>
            <w:r w:rsidRPr="003A46A2">
              <w:rPr>
                <w:rFonts w:ascii="Times New Roman" w:hAnsi="Times New Roman"/>
                <w:u w:val="single"/>
                <w:lang w:eastAsia="ru-RU"/>
              </w:rPr>
              <w:t>ьское сельское поселение</w:t>
            </w:r>
            <w:r w:rsidRPr="003A46A2">
              <w:rPr>
                <w:rFonts w:ascii="Times New Roman" w:hAnsi="Times New Roman"/>
                <w:lang w:eastAsia="ru-RU"/>
              </w:rPr>
              <w:t xml:space="preserve">» на очередной финансовый год либо на очередной финансовый год и плановый период </w:t>
            </w:r>
            <w:r w:rsidRPr="003A46A2">
              <w:rPr>
                <w:rFonts w:ascii="Times New Roman" w:hAnsi="Times New Roman"/>
                <w:color w:val="000000"/>
                <w:lang w:eastAsia="ru-RU"/>
              </w:rPr>
              <w:t>(доходы по видам доходов; расходы по разделам, подразделам, видам расходов; дефицит или профицит, источники финансирования дефицита бюджета по видам источников; программа муниципальных заимствований, программа муниципальных гарантий и основные направления долговой политики на 20</w:t>
            </w:r>
            <w:r w:rsidRPr="003A46A2">
              <w:rPr>
                <w:rFonts w:ascii="Times New Roman" w:hAnsi="Times New Roman"/>
                <w:color w:val="000000"/>
                <w:u w:val="single"/>
                <w:lang w:eastAsia="ru-RU"/>
              </w:rPr>
              <w:t>2</w:t>
            </w:r>
            <w:r w:rsidR="00DE5B9D">
              <w:rPr>
                <w:rFonts w:ascii="Times New Roman" w:hAnsi="Times New Roman"/>
                <w:color w:val="000000"/>
                <w:u w:val="single"/>
                <w:lang w:eastAsia="ru-RU"/>
              </w:rPr>
              <w:t>5</w:t>
            </w:r>
            <w:r w:rsidRPr="003A46A2">
              <w:rPr>
                <w:rFonts w:ascii="Times New Roman" w:hAnsi="Times New Roman"/>
                <w:color w:val="000000"/>
                <w:lang w:eastAsia="ru-RU"/>
              </w:rPr>
              <w:t>год)</w:t>
            </w:r>
            <w:r w:rsidRPr="003A46A2"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671" w:type="dxa"/>
          </w:tcPr>
          <w:p w:rsidR="00A438F8" w:rsidRPr="003A46A2" w:rsidRDefault="00A438F8" w:rsidP="00DE5B9D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A46A2">
              <w:rPr>
                <w:rFonts w:ascii="Times New Roman" w:hAnsi="Times New Roman"/>
                <w:lang w:eastAsia="ru-RU"/>
              </w:rPr>
              <w:t xml:space="preserve">Предоставление </w:t>
            </w:r>
            <w:r w:rsidRPr="003A46A2">
              <w:rPr>
                <w:rFonts w:ascii="Times New Roman" w:hAnsi="Times New Roman"/>
                <w:color w:val="000000"/>
                <w:lang w:eastAsia="ru-RU"/>
              </w:rPr>
              <w:t>решений о внесении изменений в решение о бюджете на 20</w:t>
            </w:r>
            <w:r w:rsidRPr="003A46A2">
              <w:rPr>
                <w:rFonts w:ascii="Times New Roman" w:hAnsi="Times New Roman"/>
                <w:color w:val="000000"/>
                <w:u w:val="single"/>
                <w:lang w:eastAsia="ru-RU"/>
              </w:rPr>
              <w:t>2</w:t>
            </w:r>
            <w:r w:rsidR="00DE5B9D">
              <w:rPr>
                <w:rFonts w:ascii="Times New Roman" w:hAnsi="Times New Roman"/>
                <w:color w:val="000000"/>
                <w:u w:val="single"/>
                <w:lang w:eastAsia="ru-RU"/>
              </w:rPr>
              <w:t>5</w:t>
            </w:r>
            <w:r w:rsidRPr="003A46A2">
              <w:rPr>
                <w:rFonts w:ascii="Times New Roman" w:hAnsi="Times New Roman"/>
                <w:color w:val="000000"/>
                <w:lang w:eastAsia="ru-RU"/>
              </w:rPr>
              <w:t xml:space="preserve"> год;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  <w:tr w:rsidR="00A438F8" w:rsidRPr="003A46A2" w:rsidTr="006718FE">
        <w:tc>
          <w:tcPr>
            <w:tcW w:w="70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671" w:type="dxa"/>
          </w:tcPr>
          <w:p w:rsidR="00A438F8" w:rsidRPr="003A46A2" w:rsidRDefault="00A438F8" w:rsidP="003A46A2">
            <w:pPr>
              <w:spacing w:after="0" w:line="240" w:lineRule="atLeast"/>
              <w:jc w:val="both"/>
              <w:rPr>
                <w:rFonts w:ascii="Times New Roman" w:hAnsi="Times New Roman"/>
                <w:lang w:eastAsia="ru-RU"/>
              </w:rPr>
            </w:pPr>
            <w:r w:rsidRPr="003A46A2">
              <w:rPr>
                <w:rFonts w:ascii="Times New Roman" w:hAnsi="Times New Roman"/>
                <w:lang w:eastAsia="ru-RU"/>
              </w:rPr>
              <w:t>Предоставление ежеквартально в срок до 15 числа месяца, следующего за отчетным кварталом (до 1 февраля – за отчетный финансовый год), в Финансовый отдел отчета об исполнении настоящего Соглашения</w:t>
            </w:r>
          </w:p>
        </w:tc>
        <w:tc>
          <w:tcPr>
            <w:tcW w:w="1489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/>
                <w:lang w:eastAsia="ru-RU"/>
              </w:rPr>
            </w:pPr>
            <w:r w:rsidRPr="003A46A2">
              <w:rPr>
                <w:rFonts w:ascii="Times New Roman" w:hAnsi="Times New Roman"/>
                <w:lang w:eastAsia="ru-RU"/>
              </w:rPr>
              <w:t>ежеквар</w:t>
            </w:r>
          </w:p>
          <w:p w:rsidR="00A438F8" w:rsidRPr="003A46A2" w:rsidRDefault="00A438F8" w:rsidP="003A46A2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/>
                <w:lang w:eastAsia="ru-RU"/>
              </w:rPr>
              <w:t>тально</w:t>
            </w:r>
          </w:p>
        </w:tc>
        <w:tc>
          <w:tcPr>
            <w:tcW w:w="1984" w:type="dxa"/>
          </w:tcPr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</w:p>
          <w:p w:rsidR="00A438F8" w:rsidRPr="003A46A2" w:rsidRDefault="00A438F8" w:rsidP="003A46A2">
            <w:pPr>
              <w:spacing w:after="0" w:line="240" w:lineRule="atLeast"/>
              <w:jc w:val="center"/>
              <w:rPr>
                <w:rFonts w:ascii="Times New Roman" w:hAnsi="Times New Roman" w:cs="Times New Roman"/>
              </w:rPr>
            </w:pPr>
            <w:r w:rsidRPr="003A46A2">
              <w:rPr>
                <w:rFonts w:ascii="Times New Roman" w:hAnsi="Times New Roman" w:cs="Times New Roman"/>
              </w:rPr>
              <w:t>Администрация поселения</w:t>
            </w:r>
          </w:p>
        </w:tc>
      </w:tr>
    </w:tbl>
    <w:p w:rsidR="00A438F8" w:rsidRPr="003A46A2" w:rsidRDefault="00A438F8" w:rsidP="00E358FF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A438F8" w:rsidRPr="003A46A2" w:rsidRDefault="00A438F8" w:rsidP="00F77C10">
      <w:pPr>
        <w:spacing w:after="120" w:line="240" w:lineRule="exact"/>
        <w:jc w:val="right"/>
        <w:rPr>
          <w:rFonts w:ascii="Times New Roman" w:hAnsi="Times New Roman" w:cs="Times New Roman"/>
        </w:rPr>
      </w:pPr>
    </w:p>
    <w:p w:rsidR="00A438F8" w:rsidRPr="003A46A2" w:rsidRDefault="00A438F8">
      <w:pPr>
        <w:jc w:val="right"/>
        <w:rPr>
          <w:rFonts w:ascii="Times New Roman" w:hAnsi="Times New Roman" w:cs="Times New Roman"/>
        </w:rPr>
      </w:pPr>
    </w:p>
    <w:p w:rsidR="00A438F8" w:rsidRPr="003A46A2" w:rsidRDefault="00A438F8">
      <w:pPr>
        <w:jc w:val="right"/>
        <w:rPr>
          <w:rFonts w:ascii="Times New Roman" w:hAnsi="Times New Roman" w:cs="Times New Roman"/>
        </w:rPr>
      </w:pPr>
    </w:p>
    <w:p w:rsidR="00A438F8" w:rsidRPr="003A46A2" w:rsidRDefault="00A438F8">
      <w:pPr>
        <w:jc w:val="right"/>
        <w:rPr>
          <w:rFonts w:ascii="Times New Roman" w:hAnsi="Times New Roman" w:cs="Times New Roman"/>
        </w:rPr>
      </w:pPr>
    </w:p>
    <w:p w:rsidR="00A438F8" w:rsidRPr="003A46A2" w:rsidRDefault="00A438F8">
      <w:pPr>
        <w:jc w:val="right"/>
        <w:rPr>
          <w:rFonts w:ascii="Times New Roman" w:hAnsi="Times New Roman" w:cs="Times New Roman"/>
        </w:rPr>
      </w:pPr>
    </w:p>
    <w:p w:rsidR="00A438F8" w:rsidRPr="003A46A2" w:rsidRDefault="00A438F8">
      <w:pPr>
        <w:jc w:val="right"/>
        <w:rPr>
          <w:rFonts w:ascii="Times New Roman" w:hAnsi="Times New Roman" w:cs="Times New Roman"/>
        </w:rPr>
      </w:pPr>
    </w:p>
    <w:p w:rsidR="00A438F8" w:rsidRDefault="00A438F8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438F8" w:rsidSect="00B75D43">
      <w:headerReference w:type="even" r:id="rId11"/>
      <w:headerReference w:type="default" r:id="rId12"/>
      <w:foot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61" w:rsidRDefault="002D4C61" w:rsidP="006718FE">
      <w:pPr>
        <w:spacing w:after="0" w:line="240" w:lineRule="auto"/>
      </w:pPr>
      <w:r>
        <w:separator/>
      </w:r>
    </w:p>
  </w:endnote>
  <w:endnote w:type="continuationSeparator" w:id="1">
    <w:p w:rsidR="002D4C61" w:rsidRDefault="002D4C61" w:rsidP="00671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F8" w:rsidRDefault="00A438F8">
    <w:pPr>
      <w:pStyle w:val="a6"/>
      <w:jc w:val="right"/>
    </w:pPr>
  </w:p>
  <w:p w:rsidR="00A438F8" w:rsidRDefault="00A438F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61" w:rsidRDefault="002D4C61" w:rsidP="006718FE">
      <w:pPr>
        <w:spacing w:after="0" w:line="240" w:lineRule="auto"/>
      </w:pPr>
      <w:r>
        <w:separator/>
      </w:r>
    </w:p>
  </w:footnote>
  <w:footnote w:type="continuationSeparator" w:id="1">
    <w:p w:rsidR="002D4C61" w:rsidRDefault="002D4C61" w:rsidP="00671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F8" w:rsidRDefault="00C14035" w:rsidP="00B75D43">
    <w:pPr>
      <w:pStyle w:val="a4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A438F8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end"/>
    </w:r>
  </w:p>
  <w:p w:rsidR="00A438F8" w:rsidRDefault="00A438F8" w:rsidP="00B75D4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8F8" w:rsidRDefault="00C14035" w:rsidP="00B75D43">
    <w:pPr>
      <w:pStyle w:val="a4"/>
      <w:framePr w:wrap="around" w:vAnchor="text" w:hAnchor="margin" w:xAlign="center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 w:rsidR="00A438F8"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A33656">
      <w:rPr>
        <w:rStyle w:val="ab"/>
        <w:rFonts w:cs="Calibri"/>
        <w:noProof/>
      </w:rPr>
      <w:t>2</w:t>
    </w:r>
    <w:r>
      <w:rPr>
        <w:rStyle w:val="ab"/>
        <w:rFonts w:cs="Calibri"/>
      </w:rPr>
      <w:fldChar w:fldCharType="end"/>
    </w:r>
  </w:p>
  <w:p w:rsidR="00A438F8" w:rsidRPr="00B75D43" w:rsidRDefault="00A438F8" w:rsidP="00B75D43">
    <w:pPr>
      <w:pStyle w:val="a4"/>
      <w:ind w:right="360"/>
    </w:pPr>
  </w:p>
  <w:p w:rsidR="00A438F8" w:rsidRDefault="00A438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4392"/>
    <w:rsid w:val="00023D0C"/>
    <w:rsid w:val="00045406"/>
    <w:rsid w:val="0005263B"/>
    <w:rsid w:val="000613E5"/>
    <w:rsid w:val="00083AEF"/>
    <w:rsid w:val="000878CF"/>
    <w:rsid w:val="000A18DA"/>
    <w:rsid w:val="000B0805"/>
    <w:rsid w:val="000E2238"/>
    <w:rsid w:val="000F49F8"/>
    <w:rsid w:val="0010185F"/>
    <w:rsid w:val="00105F14"/>
    <w:rsid w:val="00126B48"/>
    <w:rsid w:val="001645F2"/>
    <w:rsid w:val="001A14FF"/>
    <w:rsid w:val="001A2E47"/>
    <w:rsid w:val="001D29EB"/>
    <w:rsid w:val="001D4AD9"/>
    <w:rsid w:val="001E4490"/>
    <w:rsid w:val="001F2EEE"/>
    <w:rsid w:val="002161A3"/>
    <w:rsid w:val="00242E96"/>
    <w:rsid w:val="002609F8"/>
    <w:rsid w:val="00292020"/>
    <w:rsid w:val="002D4C61"/>
    <w:rsid w:val="002E582E"/>
    <w:rsid w:val="0030244B"/>
    <w:rsid w:val="003562B8"/>
    <w:rsid w:val="00370D23"/>
    <w:rsid w:val="00370E9E"/>
    <w:rsid w:val="00373CEA"/>
    <w:rsid w:val="003A0D0A"/>
    <w:rsid w:val="003A46A2"/>
    <w:rsid w:val="003A7F06"/>
    <w:rsid w:val="003D1DBA"/>
    <w:rsid w:val="003D70CD"/>
    <w:rsid w:val="00416262"/>
    <w:rsid w:val="004175D0"/>
    <w:rsid w:val="00436075"/>
    <w:rsid w:val="00437898"/>
    <w:rsid w:val="00451C5A"/>
    <w:rsid w:val="00476EF0"/>
    <w:rsid w:val="004906F8"/>
    <w:rsid w:val="00552BB7"/>
    <w:rsid w:val="00581482"/>
    <w:rsid w:val="0058450C"/>
    <w:rsid w:val="005C08EC"/>
    <w:rsid w:val="005D1702"/>
    <w:rsid w:val="005D2F8B"/>
    <w:rsid w:val="005D3B15"/>
    <w:rsid w:val="00600372"/>
    <w:rsid w:val="00622A5C"/>
    <w:rsid w:val="00631033"/>
    <w:rsid w:val="0063517C"/>
    <w:rsid w:val="00646FAE"/>
    <w:rsid w:val="00650F57"/>
    <w:rsid w:val="00651B18"/>
    <w:rsid w:val="0066390A"/>
    <w:rsid w:val="006718FE"/>
    <w:rsid w:val="00683D65"/>
    <w:rsid w:val="006A3788"/>
    <w:rsid w:val="006B08DA"/>
    <w:rsid w:val="006B1BB1"/>
    <w:rsid w:val="006D1858"/>
    <w:rsid w:val="00704392"/>
    <w:rsid w:val="00711358"/>
    <w:rsid w:val="00731A2D"/>
    <w:rsid w:val="00771D8A"/>
    <w:rsid w:val="00775B15"/>
    <w:rsid w:val="00790656"/>
    <w:rsid w:val="00801314"/>
    <w:rsid w:val="00832959"/>
    <w:rsid w:val="00835458"/>
    <w:rsid w:val="0083594A"/>
    <w:rsid w:val="0085170E"/>
    <w:rsid w:val="00883738"/>
    <w:rsid w:val="008A0232"/>
    <w:rsid w:val="008B41B8"/>
    <w:rsid w:val="008D23FE"/>
    <w:rsid w:val="008D6AF3"/>
    <w:rsid w:val="00921A85"/>
    <w:rsid w:val="00937731"/>
    <w:rsid w:val="009D451C"/>
    <w:rsid w:val="009F3E62"/>
    <w:rsid w:val="00A11788"/>
    <w:rsid w:val="00A23CDE"/>
    <w:rsid w:val="00A33656"/>
    <w:rsid w:val="00A438F8"/>
    <w:rsid w:val="00A50D8E"/>
    <w:rsid w:val="00A808CA"/>
    <w:rsid w:val="00AB7F06"/>
    <w:rsid w:val="00AD18AB"/>
    <w:rsid w:val="00AF2ABA"/>
    <w:rsid w:val="00B03CD7"/>
    <w:rsid w:val="00B35268"/>
    <w:rsid w:val="00B61B98"/>
    <w:rsid w:val="00B75D43"/>
    <w:rsid w:val="00BA666F"/>
    <w:rsid w:val="00BB5A1E"/>
    <w:rsid w:val="00BC3EEA"/>
    <w:rsid w:val="00BF2680"/>
    <w:rsid w:val="00C14035"/>
    <w:rsid w:val="00C174D8"/>
    <w:rsid w:val="00C27C76"/>
    <w:rsid w:val="00C61C99"/>
    <w:rsid w:val="00CD3D24"/>
    <w:rsid w:val="00CF3EAE"/>
    <w:rsid w:val="00D22B5F"/>
    <w:rsid w:val="00D234BE"/>
    <w:rsid w:val="00D45103"/>
    <w:rsid w:val="00D60841"/>
    <w:rsid w:val="00D64EDC"/>
    <w:rsid w:val="00D7207F"/>
    <w:rsid w:val="00DC63D2"/>
    <w:rsid w:val="00DE5B9D"/>
    <w:rsid w:val="00DF34F3"/>
    <w:rsid w:val="00E358FF"/>
    <w:rsid w:val="00E44F44"/>
    <w:rsid w:val="00E5511D"/>
    <w:rsid w:val="00ED56C7"/>
    <w:rsid w:val="00ED6A04"/>
    <w:rsid w:val="00EF7303"/>
    <w:rsid w:val="00F11DA5"/>
    <w:rsid w:val="00F21BB1"/>
    <w:rsid w:val="00F269ED"/>
    <w:rsid w:val="00F32FBD"/>
    <w:rsid w:val="00F60172"/>
    <w:rsid w:val="00F61040"/>
    <w:rsid w:val="00F77C10"/>
    <w:rsid w:val="00F82762"/>
    <w:rsid w:val="00F87119"/>
    <w:rsid w:val="00F937FD"/>
    <w:rsid w:val="00FA31A1"/>
    <w:rsid w:val="00FB0989"/>
    <w:rsid w:val="00FB1B8E"/>
    <w:rsid w:val="00FD7FA3"/>
    <w:rsid w:val="00FE03A5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7C10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6718F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718FE"/>
    <w:rPr>
      <w:rFonts w:cs="Calibri"/>
      <w:lang w:eastAsia="en-US"/>
    </w:rPr>
  </w:style>
  <w:style w:type="paragraph" w:styleId="a6">
    <w:name w:val="footer"/>
    <w:basedOn w:val="a"/>
    <w:link w:val="a7"/>
    <w:uiPriority w:val="99"/>
    <w:rsid w:val="006718F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6718FE"/>
    <w:rPr>
      <w:rFonts w:cs="Calibri"/>
      <w:lang w:eastAsia="en-US"/>
    </w:rPr>
  </w:style>
  <w:style w:type="paragraph" w:styleId="a8">
    <w:name w:val="Title"/>
    <w:basedOn w:val="a"/>
    <w:link w:val="a9"/>
    <w:uiPriority w:val="99"/>
    <w:qFormat/>
    <w:locked/>
    <w:rsid w:val="00646FA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646FAE"/>
    <w:rPr>
      <w:rFonts w:ascii="Times New Roman" w:hAnsi="Times New Roman" w:cs="Times New Roman"/>
      <w:b/>
      <w:sz w:val="32"/>
    </w:rPr>
  </w:style>
  <w:style w:type="paragraph" w:styleId="aa">
    <w:name w:val="No Spacing"/>
    <w:uiPriority w:val="99"/>
    <w:qFormat/>
    <w:rsid w:val="00651B18"/>
    <w:rPr>
      <w:sz w:val="22"/>
      <w:szCs w:val="22"/>
      <w:lang w:eastAsia="en-US"/>
    </w:rPr>
  </w:style>
  <w:style w:type="character" w:styleId="ab">
    <w:name w:val="page number"/>
    <w:uiPriority w:val="99"/>
    <w:rsid w:val="00B75D4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06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0EE282955B86EACB014ED70E7F09578342F58ECD3C11B2F9FA8FA088D5103CE17298CA8A9BF4C196A520FFCAD7752C1920D9B2BCCdDN3K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130EE282955B86EACB014ED70E7F09578342F58ECD3C11B2F9FA8FA088D5103CE17298EA9ACBB4C196A520FFCAD7752C1920D9B2BCCdDN3K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0EE282955B86EACB014ED70E7F09578342F58ECD3C11B2F9FA8FA088D5103CE172988AEADBF4C196A520FFCAD7752C1920D9B2BCCdDN3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130EE282955B86EACB014ED70E7F095793F2859E58796197ECAA6FF00DD0B13D85E2584B2ACBE594F3B17d5N3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2C16ED9078CF2C8A01F2069574F14FFE634615D10297B0304928694CAE8546076E28AF366F0A911C9221F12A442BCF538713089B582974FN3C3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Валентина Ивановна</cp:lastModifiedBy>
  <cp:revision>42</cp:revision>
  <cp:lastPrinted>2025-02-13T02:55:00Z</cp:lastPrinted>
  <dcterms:created xsi:type="dcterms:W3CDTF">2018-04-09T03:03:00Z</dcterms:created>
  <dcterms:modified xsi:type="dcterms:W3CDTF">2025-02-13T02:56:00Z</dcterms:modified>
</cp:coreProperties>
</file>